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F" w:rsidRDefault="00672631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-158115</wp:posOffset>
            </wp:positionV>
            <wp:extent cx="6667500" cy="9172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29" w:rsidRPr="00124323" w:rsidRDefault="00507129" w:rsidP="005071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 администрации </w:t>
      </w:r>
      <w:r w:rsidRPr="0012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ОГБОУ «Школа №10»</w:t>
      </w:r>
      <w:r w:rsidR="00A52530" w:rsidRPr="00124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323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через официальный сайт </w:t>
      </w:r>
      <w:r w:rsidRPr="0012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ОГБОУ «Школа №10»</w:t>
      </w:r>
      <w:r w:rsidRPr="00124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29" w:rsidRPr="00124323" w:rsidRDefault="00507129" w:rsidP="005071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29" w:rsidRPr="00CD4FF1" w:rsidRDefault="00507129" w:rsidP="0050712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ликвидации академической задолженности</w:t>
      </w:r>
    </w:p>
    <w:p w:rsidR="00507129" w:rsidRPr="00CD4FF1" w:rsidRDefault="00507129" w:rsidP="005071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29" w:rsidRPr="00CD4FF1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Ответственность за ликвидацию </w:t>
      </w:r>
      <w:proofErr w:type="gram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возлагается на родителей (законных представителей). Продление сроков ликвидации академической задолженности возможно в индивидуальном порядке в случае длительной болезни обучающегося, пребывания в лечебно-профилактических и реабилитационных учреждениях.</w:t>
      </w:r>
    </w:p>
    <w:p w:rsidR="00507129" w:rsidRPr="00CD4FF1" w:rsidRDefault="00507129" w:rsidP="00B47BE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F1">
        <w:rPr>
          <w:rFonts w:ascii="Times New Roman" w:hAnsi="Times New Roman" w:cs="Times New Roman"/>
          <w:sz w:val="28"/>
          <w:szCs w:val="28"/>
          <w:lang w:eastAsia="ru-RU"/>
        </w:rPr>
        <w:t xml:space="preserve">2.2. Обучающиеся, имеющие академическую задолженность, вправе пройти промежуточную аттестацию по </w:t>
      </w:r>
      <w:proofErr w:type="gramStart"/>
      <w:r w:rsidRPr="00CD4FF1">
        <w:rPr>
          <w:rFonts w:ascii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CD4FF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предмету, курсу, дисциплине (модулю) не более двух раз в сроки, определяемые </w:t>
      </w:r>
      <w:r w:rsidR="00AE73D3" w:rsidRPr="00CD4FF1">
        <w:rPr>
          <w:rFonts w:ascii="Times New Roman" w:hAnsi="Times New Roman" w:cs="Times New Roman"/>
          <w:sz w:val="28"/>
          <w:szCs w:val="28"/>
          <w:lang w:eastAsia="ru-RU"/>
        </w:rPr>
        <w:t xml:space="preserve">ОГБОУ «Школа </w:t>
      </w:r>
      <w:r w:rsidR="0053697D">
        <w:rPr>
          <w:rFonts w:ascii="Times New Roman" w:hAnsi="Times New Roman" w:cs="Times New Roman"/>
          <w:sz w:val="28"/>
          <w:szCs w:val="28"/>
          <w:lang w:eastAsia="ru-RU"/>
        </w:rPr>
        <w:t>№10»</w:t>
      </w:r>
      <w:r w:rsidRPr="00CD4FF1">
        <w:rPr>
          <w:rFonts w:ascii="Times New Roman" w:hAnsi="Times New Roman" w:cs="Times New Roman"/>
          <w:sz w:val="28"/>
          <w:szCs w:val="28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 (</w:t>
      </w:r>
      <w:hyperlink r:id="rId7" w:anchor="/document/99/902389617/XA00M922MS/" w:history="1">
        <w:r w:rsidRPr="00CD4FF1">
          <w:rPr>
            <w:rFonts w:ascii="Times New Roman" w:hAnsi="Times New Roman" w:cs="Times New Roman"/>
            <w:sz w:val="28"/>
            <w:szCs w:val="28"/>
            <w:lang w:eastAsia="ru-RU"/>
          </w:rPr>
          <w:t>ч. 5 ст. 58 Федерального закона от 29.12.2012 № 273-ФЗ</w:t>
        </w:r>
      </w:hyperlink>
      <w:r w:rsidRPr="00CD4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3D3" w:rsidRPr="00CD4F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D4FF1">
        <w:rPr>
          <w:rFonts w:ascii="Times New Roman" w:hAnsi="Times New Roman" w:cs="Times New Roman"/>
          <w:sz w:val="28"/>
          <w:szCs w:val="28"/>
          <w:lang w:eastAsia="ru-RU"/>
        </w:rPr>
        <w:t>Об обр</w:t>
      </w:r>
      <w:r w:rsidR="00AE73D3" w:rsidRPr="00CD4FF1">
        <w:rPr>
          <w:rFonts w:ascii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D4FF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7129" w:rsidRDefault="00507129" w:rsidP="00B47BE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F1">
        <w:rPr>
          <w:rFonts w:ascii="Times New Roman" w:hAnsi="Times New Roman" w:cs="Times New Roman"/>
          <w:sz w:val="28"/>
          <w:szCs w:val="28"/>
        </w:rPr>
        <w:t>2.3. Классные руководители доводят до сведения родителей (законных представителей) под подпись</w:t>
      </w:r>
      <w:r w:rsidR="006220E6">
        <w:rPr>
          <w:rFonts w:ascii="Times New Roman" w:hAnsi="Times New Roman" w:cs="Times New Roman"/>
          <w:sz w:val="28"/>
          <w:szCs w:val="28"/>
        </w:rPr>
        <w:t xml:space="preserve"> </w:t>
      </w:r>
      <w:r w:rsidRPr="00CD4FF1">
        <w:rPr>
          <w:rFonts w:ascii="Times New Roman" w:hAnsi="Times New Roman" w:cs="Times New Roman"/>
          <w:sz w:val="28"/>
          <w:szCs w:val="28"/>
        </w:rPr>
        <w:t>решение педагогического совета об академической задолженности обучающихся не позднее пяти дней после проведения педагогического совета, на котором принято соответствующее решение. Уведомление происходит посредством ознакомления родителей (законных представителей) с выпиской из протокола педагогического совета, на котором принято соответствующее решение</w:t>
      </w:r>
      <w:r w:rsidR="00C41855">
        <w:rPr>
          <w:rFonts w:ascii="Times New Roman" w:hAnsi="Times New Roman" w:cs="Times New Roman"/>
          <w:sz w:val="28"/>
          <w:szCs w:val="28"/>
        </w:rPr>
        <w:t xml:space="preserve"> </w:t>
      </w:r>
      <w:r w:rsidR="00C418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C41855">
        <w:rPr>
          <w:rFonts w:ascii="Times New Roman" w:hAnsi="Times New Roman" w:cs="Times New Roman"/>
          <w:sz w:val="28"/>
          <w:szCs w:val="28"/>
        </w:rPr>
        <w:t>.</w:t>
      </w:r>
    </w:p>
    <w:p w:rsidR="00C41855" w:rsidRPr="00C41855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Pr="00CD4FF1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4FF1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FF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F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подают заявление на имя директора школы заявление о ликвидации </w:t>
      </w:r>
      <w:r w:rsidRPr="00EB5297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29" w:rsidRPr="00CD4FF1" w:rsidRDefault="00C41855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Учитель-предметник разрабатывает план-график ликвидации академической задолженности по предмету по образцу, приведенному в приложении 1 к Положению. </w:t>
      </w:r>
      <w:proofErr w:type="gramStart"/>
      <w:r w:rsidR="00507129" w:rsidRPr="00CD4FF1">
        <w:rPr>
          <w:rFonts w:ascii="Times New Roman" w:hAnsi="Times New Roman" w:cs="Times New Roman"/>
          <w:sz w:val="28"/>
          <w:szCs w:val="28"/>
        </w:rPr>
        <w:t>План-график согласовывае</w:t>
      </w:r>
      <w:r w:rsidR="00D20CE4" w:rsidRPr="00CD4FF1">
        <w:rPr>
          <w:rFonts w:ascii="Times New Roman" w:hAnsi="Times New Roman" w:cs="Times New Roman"/>
          <w:sz w:val="28"/>
          <w:szCs w:val="28"/>
        </w:rPr>
        <w:t xml:space="preserve">тся </w:t>
      </w:r>
      <w:r w:rsidR="006220E6">
        <w:rPr>
          <w:rFonts w:ascii="Times New Roman" w:hAnsi="Times New Roman" w:cs="Times New Roman"/>
          <w:sz w:val="28"/>
          <w:szCs w:val="28"/>
        </w:rPr>
        <w:t xml:space="preserve">с </w:t>
      </w:r>
      <w:r w:rsidR="00D20CE4" w:rsidRPr="00CD4FF1">
        <w:rPr>
          <w:rFonts w:ascii="Times New Roman" w:hAnsi="Times New Roman" w:cs="Times New Roman"/>
          <w:sz w:val="28"/>
          <w:szCs w:val="28"/>
        </w:rPr>
        <w:t>заместителем директора по У</w:t>
      </w:r>
      <w:r w:rsidR="00507129" w:rsidRPr="00CD4FF1">
        <w:rPr>
          <w:rFonts w:ascii="Times New Roman" w:hAnsi="Times New Roman" w:cs="Times New Roman"/>
          <w:sz w:val="28"/>
          <w:szCs w:val="28"/>
        </w:rPr>
        <w:t>Р с обучающимся, достигшим 18-летия, и родителями (законными пред</w:t>
      </w:r>
      <w:r w:rsidR="00AE73D3" w:rsidRPr="00CD4FF1">
        <w:rPr>
          <w:rFonts w:ascii="Times New Roman" w:hAnsi="Times New Roman" w:cs="Times New Roman"/>
          <w:sz w:val="28"/>
          <w:szCs w:val="28"/>
        </w:rPr>
        <w:t>ставителями)</w:t>
      </w:r>
      <w:r w:rsidRPr="00C4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507129" w:rsidRPr="00CD4F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855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руководители ув</w:t>
      </w:r>
      <w:r w:rsidR="00D20CE4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едомляют родителей (законных 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под подпись о сроках ликвидации 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задолженности.</w:t>
      </w:r>
      <w:r w:rsidR="00EB5297" w:rsidRPr="00A5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29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855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</w:t>
      </w:r>
      <w:proofErr w:type="gramStart"/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академическую задолженность, осуществляется учителем-предметником по материалам, согласованным с предметным методическим объединением. Контрольно-измерительные материалы учитель-предметник прилагает к плану-графику ликвидации академической задолженности.</w:t>
      </w:r>
    </w:p>
    <w:p w:rsidR="00507129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855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530" w:rsidRPr="00A52530">
        <w:rPr>
          <w:rFonts w:ascii="Times New Roman" w:hAnsi="Times New Roman" w:cs="Times New Roman"/>
          <w:sz w:val="28"/>
          <w:szCs w:val="28"/>
        </w:rPr>
        <w:t>Промежуточная аттестация учащихся, имеющих академическую задолженность, в первый раз осуществляется педагогом.</w:t>
      </w:r>
      <w:r w:rsidR="00A52530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промежуточной аттестации во второй раз в </w:t>
      </w:r>
      <w:r w:rsidR="00E6453D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соответствующая комиссия:</w:t>
      </w:r>
    </w:p>
    <w:p w:rsidR="00507129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формируется по предметному принципу;</w:t>
      </w:r>
    </w:p>
    <w:p w:rsidR="00507129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 предметной комиссии определяется </w:t>
      </w:r>
      <w:r w:rsidR="00E6453D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="00D20CE4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менее трех человек;</w:t>
      </w:r>
    </w:p>
    <w:p w:rsidR="00507129" w:rsidRPr="00A52530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персональный состав комиссии утверждается приказом </w:t>
      </w:r>
      <w:r w:rsidR="00E6453D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29" w:rsidRPr="00A52530" w:rsidRDefault="00C41855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5A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7129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предметной комиссии оформляется протоколом приема промежуточной аттестации </w:t>
      </w:r>
      <w:proofErr w:type="gramStart"/>
      <w:r w:rsidR="00507129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07129"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курсу, дисциплине (модулю).</w:t>
      </w:r>
    </w:p>
    <w:p w:rsidR="00507129" w:rsidRPr="004E0165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5A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ликвидировавшие академическую задолженность в </w:t>
      </w:r>
      <w:r w:rsidRPr="004E0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сроки, решением педагогического совета считаются освоившими образовательную программу по предмету, курсу (модулю), о чем делается запись в классном журнале.</w:t>
      </w:r>
      <w:proofErr w:type="gramEnd"/>
      <w:r w:rsidRPr="004E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справка о прохождении программного материала в период ликвидации академической задолженности (приложение </w:t>
      </w:r>
      <w:r w:rsidR="00C41855" w:rsidRPr="004E01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01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3646" w:rsidRDefault="00EC3646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46" w:rsidRPr="00EC3646" w:rsidRDefault="00EC3646" w:rsidP="00EC364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46">
        <w:rPr>
          <w:rFonts w:ascii="Times New Roman" w:hAnsi="Times New Roman" w:cs="Times New Roman"/>
          <w:b/>
          <w:sz w:val="28"/>
          <w:szCs w:val="28"/>
        </w:rPr>
        <w:t>Порядок организации ликвидации академической задолженности</w:t>
      </w:r>
    </w:p>
    <w:p w:rsidR="0053697D" w:rsidRPr="00EC3646" w:rsidRDefault="0053697D" w:rsidP="00EC36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46">
        <w:rPr>
          <w:rFonts w:ascii="Times New Roman" w:hAnsi="Times New Roman" w:cs="Times New Roman"/>
          <w:b/>
          <w:sz w:val="28"/>
          <w:szCs w:val="28"/>
        </w:rPr>
        <w:t>по итогам учебного года</w:t>
      </w:r>
    </w:p>
    <w:p w:rsidR="0053697D" w:rsidRPr="0053697D" w:rsidRDefault="0053697D" w:rsidP="00EC36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EC3646" w:rsidRPr="00EC3646" w:rsidRDefault="0053697D" w:rsidP="00EC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7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C3646" w:rsidRPr="00EC3646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</w:t>
      </w:r>
      <w:r w:rsidR="00EC3646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EC3646" w:rsidRPr="00EC3646">
        <w:rPr>
          <w:rFonts w:ascii="Times New Roman" w:hAnsi="Times New Roman" w:cs="Times New Roman"/>
          <w:sz w:val="28"/>
          <w:szCs w:val="28"/>
        </w:rPr>
        <w:t xml:space="preserve"> по уважительным причинам или имеющие академическую задолженность, переводятся в следующий класс условно.</w:t>
      </w:r>
      <w:proofErr w:type="gramEnd"/>
      <w:r w:rsidR="00EC3646" w:rsidRPr="00EC3646">
        <w:rPr>
          <w:rFonts w:ascii="Times New Roman" w:hAnsi="Times New Roman" w:cs="Times New Roman"/>
          <w:sz w:val="28"/>
          <w:szCs w:val="28"/>
        </w:rPr>
        <w:t xml:space="preserve">  Условный перевод обучающегося в следующий класс производится по решению педагогического совета.</w:t>
      </w:r>
    </w:p>
    <w:p w:rsidR="00EC3646" w:rsidRPr="00EC3646" w:rsidRDefault="008A5ABD" w:rsidP="00EC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C3646" w:rsidRPr="00EC3646">
        <w:rPr>
          <w:rFonts w:ascii="Times New Roman" w:hAnsi="Times New Roman" w:cs="Times New Roman"/>
          <w:sz w:val="28"/>
          <w:szCs w:val="28"/>
        </w:rPr>
        <w:t>. Академическая задолженность условно переведенными обучающимися ликвидируется в установленные сроки. Обучающиеся</w:t>
      </w:r>
      <w:r w:rsidR="00EC3646">
        <w:rPr>
          <w:rFonts w:ascii="Times New Roman" w:hAnsi="Times New Roman" w:cs="Times New Roman"/>
          <w:sz w:val="28"/>
          <w:szCs w:val="28"/>
        </w:rPr>
        <w:t xml:space="preserve"> 1 дополнительных — 9 классов</w:t>
      </w:r>
      <w:r w:rsidR="00EC3646" w:rsidRPr="00EC3646">
        <w:rPr>
          <w:rFonts w:ascii="Times New Roman" w:hAnsi="Times New Roman" w:cs="Times New Roman"/>
          <w:sz w:val="28"/>
          <w:szCs w:val="28"/>
        </w:rPr>
        <w:t>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EC3646" w:rsidRPr="00EC3646" w:rsidRDefault="00EC3646" w:rsidP="00EC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3646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Pr="00EC3646">
        <w:rPr>
          <w:rFonts w:ascii="Times New Roman" w:hAnsi="Times New Roman" w:cs="Times New Roman"/>
          <w:sz w:val="28"/>
          <w:szCs w:val="28"/>
        </w:rPr>
        <w:t xml:space="preserve"> на повторное обучение;</w:t>
      </w:r>
    </w:p>
    <w:p w:rsidR="00EC3646" w:rsidRDefault="00EC3646" w:rsidP="00EC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46">
        <w:rPr>
          <w:rFonts w:ascii="Times New Roman" w:hAnsi="Times New Roman" w:cs="Times New Roman"/>
          <w:sz w:val="28"/>
          <w:szCs w:val="28"/>
        </w:rPr>
        <w:t>-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плане.</w:t>
      </w:r>
      <w:proofErr w:type="gramEnd"/>
      <w:r w:rsidRPr="00EC3646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Pr="00EC3646">
        <w:rPr>
          <w:rFonts w:ascii="Times New Roman" w:hAnsi="Times New Roman" w:cs="Times New Roman"/>
          <w:sz w:val="28"/>
          <w:szCs w:val="28"/>
        </w:rPr>
        <w:t xml:space="preserve">, не ликвидировавшие академическую задолженность по образовательным программам </w:t>
      </w:r>
      <w:r w:rsidR="008A5ABD">
        <w:rPr>
          <w:rFonts w:ascii="Times New Roman" w:hAnsi="Times New Roman" w:cs="Times New Roman"/>
          <w:sz w:val="28"/>
          <w:szCs w:val="28"/>
        </w:rPr>
        <w:t>основного</w:t>
      </w:r>
      <w:r w:rsidRPr="00EC3646">
        <w:rPr>
          <w:rFonts w:ascii="Times New Roman" w:hAnsi="Times New Roman" w:cs="Times New Roman"/>
          <w:sz w:val="28"/>
          <w:szCs w:val="28"/>
        </w:rPr>
        <w:t xml:space="preserve"> общего образования в течение года с момента ее появления,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допускаются к государственной итоговой аттестации. </w:t>
      </w:r>
    </w:p>
    <w:p w:rsidR="00EC3646" w:rsidRPr="0053697D" w:rsidRDefault="00EC3646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29" w:rsidRPr="00CD4FF1" w:rsidRDefault="00507129" w:rsidP="00EC3646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субъектов образовательного процесса</w:t>
      </w:r>
    </w:p>
    <w:p w:rsidR="00D20CE4" w:rsidRPr="00CD4FF1" w:rsidRDefault="00D20CE4" w:rsidP="004E01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29" w:rsidRPr="00CD4FF1" w:rsidRDefault="008A5ABD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Родители (законные представители):</w:t>
      </w:r>
    </w:p>
    <w:p w:rsidR="00507129" w:rsidRPr="00CD4FF1" w:rsidRDefault="00507129" w:rsidP="004E016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создать </w:t>
      </w:r>
      <w:proofErr w:type="gram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ликвидации академической задолженности и </w:t>
      </w:r>
    </w:p>
    <w:p w:rsidR="00507129" w:rsidRPr="00CD4FF1" w:rsidRDefault="00507129" w:rsidP="004E016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право выбора продолжения образования в случае </w:t>
      </w:r>
      <w:proofErr w:type="spell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неликвидации</w:t>
      </w:r>
      <w:proofErr w:type="spell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задолженности;</w:t>
      </w:r>
    </w:p>
    <w:p w:rsidR="00507129" w:rsidRPr="00CD4FF1" w:rsidRDefault="00507129" w:rsidP="004E016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выполнение </w:t>
      </w:r>
      <w:proofErr w:type="gram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ликвидации академической задолженности;</w:t>
      </w:r>
    </w:p>
    <w:p w:rsidR="00507129" w:rsidRPr="00CD4FF1" w:rsidRDefault="00507129" w:rsidP="004E016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выполнение </w:t>
      </w:r>
      <w:proofErr w:type="gram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ликвидации академической задолженности.</w:t>
      </w:r>
    </w:p>
    <w:p w:rsidR="00507129" w:rsidRPr="00CD4FF1" w:rsidRDefault="008A5ABD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Обучающийся:</w:t>
      </w:r>
    </w:p>
    <w:p w:rsidR="00507129" w:rsidRPr="00CD4FF1" w:rsidRDefault="008A5ABD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Имеет право:</w:t>
      </w:r>
    </w:p>
    <w:p w:rsidR="00507129" w:rsidRPr="00CD4FF1" w:rsidRDefault="00507129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обучающегося;</w:t>
      </w:r>
    </w:p>
    <w:p w:rsidR="00E6453D" w:rsidRPr="00CD4FF1" w:rsidRDefault="00507129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507129" w:rsidRPr="00CD4FF1" w:rsidRDefault="00507129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сроках и датах работы комиссий по сдаче академических задолженностей;</w:t>
      </w:r>
    </w:p>
    <w:p w:rsidR="00507129" w:rsidRPr="00CD4FF1" w:rsidRDefault="00507129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планом ликвидации академической задолженности;</w:t>
      </w:r>
    </w:p>
    <w:p w:rsidR="00D20CE4" w:rsidRPr="00CD4FF1" w:rsidRDefault="00D20CE4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задания для подготовки к промежуточной аттестации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129" w:rsidRPr="00CD4FF1" w:rsidRDefault="00507129" w:rsidP="004E016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hAnsi="Times New Roman" w:cs="Times New Roman"/>
          <w:sz w:val="28"/>
          <w:szCs w:val="28"/>
        </w:rPr>
        <w:t>получать помощь педагога-психолога и др.</w:t>
      </w:r>
    </w:p>
    <w:p w:rsidR="00507129" w:rsidRPr="00CD4FF1" w:rsidRDefault="00507129" w:rsidP="004E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F1">
        <w:rPr>
          <w:rFonts w:ascii="Times New Roman" w:hAnsi="Times New Roman" w:cs="Times New Roman"/>
          <w:sz w:val="28"/>
          <w:szCs w:val="28"/>
        </w:rPr>
        <w:t>3.2.2. Обязан:</w:t>
      </w:r>
    </w:p>
    <w:p w:rsidR="00507129" w:rsidRPr="00CD4FF1" w:rsidRDefault="00507129" w:rsidP="004E016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полученное для подготовки к промежуточной аттестации задание;</w:t>
      </w:r>
    </w:p>
    <w:p w:rsidR="00507129" w:rsidRPr="00CD4FF1" w:rsidRDefault="00507129" w:rsidP="004E016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сроками сдать академическую задолженность.</w:t>
      </w:r>
    </w:p>
    <w:p w:rsidR="00507129" w:rsidRPr="00CD4FF1" w:rsidRDefault="008A5ABD" w:rsidP="004E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Классный руководитель обязан:</w:t>
      </w:r>
    </w:p>
    <w:p w:rsidR="00507129" w:rsidRPr="00CD4FF1" w:rsidRDefault="00507129" w:rsidP="00E6453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родителей (законных представителей) содержание Положения;</w:t>
      </w:r>
    </w:p>
    <w:p w:rsidR="00507129" w:rsidRPr="00CD4FF1" w:rsidRDefault="00507129" w:rsidP="00E6453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родителей (законных представителей) под подпись о решении педагогического совета об академической задолженности и условном переводе обучающихся не позднее пяти дней после проведения педагогического совета, о сроках ликвидации академической задолженности не позднее 1</w:t>
      </w:r>
      <w:r w:rsidR="00F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текущего года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129" w:rsidRPr="00CD4FF1" w:rsidRDefault="00507129" w:rsidP="00E6453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ликвидации или </w:t>
      </w:r>
      <w:proofErr w:type="spell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неликвидации</w:t>
      </w:r>
      <w:proofErr w:type="spell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D20CE4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классном журнале и личном деле </w:t>
      </w:r>
      <w:proofErr w:type="gramStart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29" w:rsidRPr="00CD4FF1" w:rsidRDefault="008A5ABD" w:rsidP="00E6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Учитель-предметник обязан:</w:t>
      </w:r>
    </w:p>
    <w:p w:rsidR="00B47BE2" w:rsidRPr="00CD4FF1" w:rsidRDefault="00507129" w:rsidP="00E6453D">
      <w:pPr>
        <w:pStyle w:val="a3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ликвидации академической задолженности до 20 июня текущего года;</w:t>
      </w:r>
    </w:p>
    <w:p w:rsidR="00B47BE2" w:rsidRPr="00CD4FF1" w:rsidRDefault="00507129" w:rsidP="00E6453D">
      <w:pPr>
        <w:pStyle w:val="a3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сдать текст контрольного зад</w:t>
      </w:r>
      <w:r w:rsidR="00D20CE4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заместителю директора по У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для утверждения за три дня до промежуточной аттестации;</w:t>
      </w:r>
    </w:p>
    <w:p w:rsidR="00507129" w:rsidRPr="00CD4FF1" w:rsidRDefault="00507129" w:rsidP="00E6453D">
      <w:pPr>
        <w:pStyle w:val="a3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работы заполнить графу </w:t>
      </w:r>
      <w:r w:rsidR="00FF7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FF7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ликвидации академической задолженности.</w:t>
      </w:r>
    </w:p>
    <w:p w:rsidR="00507129" w:rsidRPr="00CD4FF1" w:rsidRDefault="008A5ABD" w:rsidP="00E6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Руководитель предметного методического объединения согласовывает контрольное задание для аттестации обучающегося.</w:t>
      </w:r>
    </w:p>
    <w:p w:rsidR="00507129" w:rsidRPr="00CD4FF1" w:rsidRDefault="008A5ABD" w:rsidP="00E6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.6. Члены предметной комиссии:</w:t>
      </w:r>
    </w:p>
    <w:p w:rsidR="00507129" w:rsidRPr="00CD4FF1" w:rsidRDefault="00507129" w:rsidP="00E6453D">
      <w:pPr>
        <w:pStyle w:val="a3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соответствии со сроками на аттестации;</w:t>
      </w:r>
    </w:p>
    <w:p w:rsidR="00507129" w:rsidRPr="00CD4FF1" w:rsidRDefault="00507129" w:rsidP="00E6453D">
      <w:pPr>
        <w:pStyle w:val="a3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соблюдени</w:t>
      </w:r>
      <w:r w:rsidR="00FF77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проведению аттестации;</w:t>
      </w:r>
    </w:p>
    <w:p w:rsidR="00507129" w:rsidRPr="00CD4FF1" w:rsidRDefault="00507129" w:rsidP="00E6453D">
      <w:pPr>
        <w:pStyle w:val="a3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в соответствии с нормативами работу, оценивают, заверяют собственной подписью.</w:t>
      </w:r>
    </w:p>
    <w:p w:rsidR="00507129" w:rsidRPr="00CD4FF1" w:rsidRDefault="008A5ABD" w:rsidP="00E6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Администрация школы создает условия </w:t>
      </w:r>
      <w:proofErr w:type="gramStart"/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обеспечивает право выбора продолжения образования в случае </w:t>
      </w:r>
      <w:proofErr w:type="spellStart"/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неликвидации</w:t>
      </w:r>
      <w:proofErr w:type="spellEnd"/>
      <w:r w:rsidR="00507129"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задолженности.</w:t>
      </w:r>
    </w:p>
    <w:p w:rsidR="00507129" w:rsidRPr="00CD4FF1" w:rsidRDefault="00507129" w:rsidP="00E6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E4" w:rsidRPr="00CD4FF1" w:rsidRDefault="00D20CE4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3D" w:rsidRPr="00CD4FF1" w:rsidRDefault="00E6453D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3D" w:rsidRPr="00CD4FF1" w:rsidRDefault="00E6453D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3D" w:rsidRPr="00CD4FF1" w:rsidRDefault="00E6453D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3D" w:rsidRPr="00CD4FF1" w:rsidRDefault="00E6453D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3D" w:rsidRPr="00CD4FF1" w:rsidRDefault="00E6453D" w:rsidP="006C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для родителей о сроках ликвидации академической задолженности</w:t>
      </w:r>
    </w:p>
    <w:p w:rsidR="00C41855" w:rsidRPr="00CD4FF1" w:rsidRDefault="00C41855" w:rsidP="00C418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FF1">
        <w:rPr>
          <w:rFonts w:ascii="Times New Roman" w:eastAsia="Calibri" w:hAnsi="Times New Roman" w:cs="Times New Roman"/>
          <w:sz w:val="24"/>
          <w:szCs w:val="24"/>
        </w:rPr>
        <w:t>Уважаемые родители (законные представители)!</w:t>
      </w:r>
    </w:p>
    <w:p w:rsidR="00C41855" w:rsidRPr="00CD4FF1" w:rsidRDefault="00C41855" w:rsidP="00C418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Администрация ОГБОУ «Школа №10» уведомляет вас, что ваш сын </w:t>
      </w:r>
      <w:r w:rsidRPr="00EC364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, ученик </w:t>
      </w:r>
      <w:r w:rsidRPr="00EC3646">
        <w:rPr>
          <w:rFonts w:ascii="Times New Roman" w:eastAsia="Calibri" w:hAnsi="Times New Roman" w:cs="Times New Roman"/>
          <w:sz w:val="24"/>
          <w:szCs w:val="24"/>
        </w:rPr>
        <w:t>____</w:t>
      </w:r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 класса, имеет академическую задолженность </w:t>
      </w:r>
      <w:proofErr w:type="gramStart"/>
      <w:r w:rsidRPr="00CD4FF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64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C3646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CD4F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855" w:rsidRPr="00CD4FF1" w:rsidRDefault="00C41855" w:rsidP="00C418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3646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EC3646">
        <w:rPr>
          <w:rFonts w:ascii="Times New Roman" w:hAnsi="Times New Roman" w:cs="Times New Roman"/>
          <w:sz w:val="24"/>
          <w:szCs w:val="24"/>
        </w:rPr>
        <w:t xml:space="preserve"> _______________  приглашается в школу</w:t>
      </w:r>
      <w:r w:rsidRPr="00CD4FF1">
        <w:rPr>
          <w:rFonts w:ascii="Times New Roman" w:eastAsia="Calibri" w:hAnsi="Times New Roman" w:cs="Times New Roman"/>
          <w:sz w:val="24"/>
          <w:szCs w:val="24"/>
        </w:rPr>
        <w:t xml:space="preserve"> с целью ликвидации</w:t>
      </w:r>
      <w:r w:rsidRPr="00EC3646">
        <w:rPr>
          <w:rFonts w:ascii="Times New Roman" w:eastAsia="Calibri" w:hAnsi="Times New Roman" w:cs="Times New Roman"/>
          <w:sz w:val="24"/>
          <w:szCs w:val="24"/>
        </w:rPr>
        <w:t xml:space="preserve"> академической задолженности в </w:t>
      </w:r>
      <w:r w:rsidRPr="00CD4FF1">
        <w:rPr>
          <w:rFonts w:ascii="Times New Roman" w:eastAsia="Calibri" w:hAnsi="Times New Roman" w:cs="Times New Roman"/>
          <w:sz w:val="24"/>
          <w:szCs w:val="24"/>
        </w:rPr>
        <w:t>соответствии с данным планом-графиком: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539"/>
        <w:gridCol w:w="1923"/>
        <w:gridCol w:w="2714"/>
        <w:gridCol w:w="1516"/>
        <w:gridCol w:w="1635"/>
        <w:gridCol w:w="1516"/>
      </w:tblGrid>
      <w:tr w:rsidR="00C41855" w:rsidRPr="00CD4FF1" w:rsidTr="00446E30">
        <w:trPr>
          <w:trHeight w:val="24"/>
        </w:trPr>
        <w:tc>
          <w:tcPr>
            <w:tcW w:w="0" w:type="auto"/>
            <w:gridSpan w:val="6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устранению пробелов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знаниях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проведения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(указать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контроля по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каждой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проведени</w:t>
            </w: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C41855" w:rsidRPr="00CD4FF1" w:rsidTr="00446E3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855" w:rsidRPr="00CD4FF1" w:rsidRDefault="00C41855" w:rsidP="00446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855" w:rsidRPr="00CD4FF1" w:rsidRDefault="00C41855" w:rsidP="00446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855" w:rsidRPr="00CD4FF1" w:rsidRDefault="00C41855" w:rsidP="00C418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FF1">
        <w:rPr>
          <w:rFonts w:ascii="Times New Roman" w:eastAsia="Calibri" w:hAnsi="Times New Roman" w:cs="Times New Roman"/>
          <w:sz w:val="24"/>
          <w:szCs w:val="24"/>
        </w:rPr>
        <w:t>Ответственность за своевременное выполнение заданий для ликвидации академической задолженности возлагается на родителей (законных представителей).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9"/>
        <w:gridCol w:w="713"/>
        <w:gridCol w:w="466"/>
        <w:gridCol w:w="211"/>
        <w:gridCol w:w="211"/>
        <w:gridCol w:w="4646"/>
        <w:gridCol w:w="210"/>
        <w:gridCol w:w="1154"/>
      </w:tblGrid>
      <w:tr w:rsidR="00C41855" w:rsidRPr="00CD4FF1" w:rsidTr="00446E30">
        <w:trPr>
          <w:gridAfter w:val="2"/>
        </w:trPr>
        <w:tc>
          <w:tcPr>
            <w:tcW w:w="2712" w:type="dxa"/>
            <w:gridSpan w:val="2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855" w:rsidRPr="00CD4FF1" w:rsidTr="00446E30">
        <w:trPr>
          <w:gridAfter w:val="2"/>
        </w:trPr>
        <w:tc>
          <w:tcPr>
            <w:tcW w:w="2712" w:type="dxa"/>
            <w:gridSpan w:val="2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855" w:rsidRPr="00CD4FF1" w:rsidTr="00446E30">
        <w:trPr>
          <w:gridAfter w:val="2"/>
        </w:trPr>
        <w:tc>
          <w:tcPr>
            <w:tcW w:w="27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855" w:rsidRPr="00CD4FF1" w:rsidTr="00446E30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Ознакомлена:</w:t>
            </w:r>
          </w:p>
        </w:tc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41855" w:rsidRPr="00CD4FF1" w:rsidTr="00446E30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3" w:type="dxa"/>
            <w:gridSpan w:val="4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(Ф. И. О. родителей, законных представителей)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855" w:rsidRPr="00CD4FF1" w:rsidRDefault="00C41855" w:rsidP="00446E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F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41855" w:rsidRPr="00CD4FF1" w:rsidRDefault="00C41855" w:rsidP="00C418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D4FF1" w:rsidRDefault="00CD4FF1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46" w:rsidRPr="00EC3646" w:rsidRDefault="00EC3646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F1" w:rsidRPr="00EC3646" w:rsidRDefault="00CD4FF1" w:rsidP="0050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1855" w:rsidRPr="00EC3646" w:rsidRDefault="00C41855" w:rsidP="006C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F1" w:rsidRPr="00EC3646" w:rsidRDefault="00507129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41855" w:rsidRPr="00EC36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1855" w:rsidRPr="00EC3646" w:rsidRDefault="00C41855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 xml:space="preserve">Директору ОГБОУ «Школа №10» </w:t>
      </w: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 xml:space="preserve">Л.В. Губич </w:t>
      </w: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C3646"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ЗАЯВЛЕНИЕ.</w:t>
      </w:r>
    </w:p>
    <w:p w:rsidR="00C41855" w:rsidRPr="00EC3646" w:rsidRDefault="00C41855" w:rsidP="00C41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 xml:space="preserve">Прошу разрешить ликвидировать академическую задолженность по __________________ </w:t>
      </w:r>
      <w:proofErr w:type="gramStart"/>
      <w:r w:rsidRPr="00EC36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3646">
        <w:rPr>
          <w:rFonts w:ascii="Times New Roman" w:hAnsi="Times New Roman" w:cs="Times New Roman"/>
          <w:sz w:val="24"/>
          <w:szCs w:val="24"/>
        </w:rPr>
        <w:t xml:space="preserve"> _______________________учебного года моему сыну (дочери) _______________________________________________________,</w:t>
      </w: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3646">
        <w:rPr>
          <w:rFonts w:ascii="Times New Roman" w:hAnsi="Times New Roman" w:cs="Times New Roman"/>
          <w:sz w:val="24"/>
          <w:szCs w:val="24"/>
        </w:rPr>
        <w:t xml:space="preserve"> _____ класса.  </w:t>
      </w: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ab/>
        <w:t>Срок сдачи академической задолженности _______________________</w:t>
      </w: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 xml:space="preserve">  «_____» _______________ 20_____ г.                     </w:t>
      </w:r>
    </w:p>
    <w:p w:rsidR="00C41855" w:rsidRPr="00EC3646" w:rsidRDefault="00C41855" w:rsidP="00C41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646" w:rsidRPr="00EC3646" w:rsidRDefault="00EC3646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41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855" w:rsidRPr="00EC3646" w:rsidRDefault="00C41855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41855" w:rsidRPr="00EC3646" w:rsidRDefault="00C41855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5" w:rsidRPr="00EC3646" w:rsidRDefault="00C41855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5" w:rsidRPr="00EC3646" w:rsidRDefault="00C41855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949"/>
        <w:gridCol w:w="2584"/>
        <w:gridCol w:w="1609"/>
        <w:gridCol w:w="1654"/>
        <w:gridCol w:w="1475"/>
      </w:tblGrid>
      <w:tr w:rsidR="00CD4FF1" w:rsidRPr="00EC3646" w:rsidTr="00446E30">
        <w:trPr>
          <w:trHeight w:val="4062"/>
        </w:trPr>
        <w:tc>
          <w:tcPr>
            <w:tcW w:w="0" w:type="auto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F1" w:rsidRPr="00EC3646" w:rsidRDefault="00CD4FF1" w:rsidP="0044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академической задолженности по 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 __________________________________, ученика ____класса,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  <w:proofErr w:type="gramStart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7782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09"/>
              <w:gridCol w:w="284"/>
              <w:gridCol w:w="778"/>
              <w:gridCol w:w="410"/>
              <w:gridCol w:w="410"/>
              <w:gridCol w:w="629"/>
              <w:gridCol w:w="1045"/>
              <w:gridCol w:w="221"/>
              <w:gridCol w:w="3313"/>
            </w:tblGrid>
            <w:tr w:rsidR="00CD4FF1" w:rsidRPr="00EC3646" w:rsidTr="00446E30">
              <w:trPr>
                <w:trHeight w:val="27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4FF1" w:rsidRPr="00EC3646" w:rsidTr="00446E30">
              <w:trPr>
                <w:trHeight w:val="29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 ученика</w:t>
                  </w:r>
                </w:p>
              </w:tc>
            </w:tr>
            <w:tr w:rsidR="00CD4FF1" w:rsidRPr="00EC3646" w:rsidTr="00446E30">
              <w:trPr>
                <w:trHeight w:val="27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4FF1" w:rsidRPr="00EC3646" w:rsidTr="00446E30">
              <w:trPr>
                <w:trHeight w:val="542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FF1" w:rsidRPr="00EC3646" w:rsidRDefault="00CD4FF1" w:rsidP="00446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 родителя (законного</w:t>
                  </w:r>
                  <w:r w:rsidRPr="00EC36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представителя)</w:t>
                  </w:r>
                </w:p>
              </w:tc>
            </w:tr>
          </w:tbl>
          <w:p w:rsidR="00CD4FF1" w:rsidRPr="00EC3646" w:rsidRDefault="00CD4FF1" w:rsidP="0044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446E30">
        <w:trPr>
          <w:trHeight w:val="24"/>
        </w:trPr>
        <w:tc>
          <w:tcPr>
            <w:tcW w:w="0" w:type="auto"/>
            <w:gridSpan w:val="6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446E3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устранению пробелов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в знаниях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(указать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период)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по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каждой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 w:rsidRPr="00EC3646">
              <w:rPr>
                <w:rFonts w:ascii="Times New Roman" w:hAnsi="Times New Roman" w:cs="Times New Roman"/>
                <w:sz w:val="24"/>
                <w:szCs w:val="24"/>
              </w:rPr>
              <w:br/>
              <w:t>я</w:t>
            </w:r>
            <w:proofErr w:type="gramEnd"/>
          </w:p>
        </w:tc>
      </w:tr>
      <w:tr w:rsidR="00CD4FF1" w:rsidRPr="00EC3646" w:rsidTr="00CD4FF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CD4F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CD4FF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CD4F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CD4FF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446E3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446E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1" w:rsidRPr="00EC3646" w:rsidTr="00446E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F1" w:rsidRPr="00EC3646" w:rsidRDefault="00CD4FF1" w:rsidP="0044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FF1" w:rsidRPr="00EC3646" w:rsidRDefault="00CD4FF1" w:rsidP="00C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Результат</w:t>
      </w:r>
    </w:p>
    <w:p w:rsidR="00CD4FF1" w:rsidRPr="00EC3646" w:rsidRDefault="00CD4FF1" w:rsidP="00C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Отчёт в форме выполненных работ</w:t>
      </w:r>
      <w:r w:rsidRPr="00EC3646">
        <w:rPr>
          <w:rFonts w:ascii="Times New Roman" w:hAnsi="Times New Roman" w:cs="Times New Roman"/>
          <w:sz w:val="24"/>
          <w:szCs w:val="24"/>
        </w:rPr>
        <w:br/>
        <w:t>14 мая 2020 года.</w:t>
      </w:r>
    </w:p>
    <w:p w:rsidR="00CD4FF1" w:rsidRPr="00EC3646" w:rsidRDefault="00CD4FF1" w:rsidP="00C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 </w:t>
      </w:r>
    </w:p>
    <w:p w:rsidR="00CD4FF1" w:rsidRPr="00EC3646" w:rsidRDefault="00CD4FF1" w:rsidP="00C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Отметка: «___»                   /</w:t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</w:r>
      <w:r w:rsidRPr="00EC3646">
        <w:rPr>
          <w:rFonts w:ascii="Times New Roman" w:hAnsi="Times New Roman" w:cs="Times New Roman"/>
          <w:sz w:val="24"/>
          <w:szCs w:val="24"/>
        </w:rPr>
        <w:softHyphen/>
        <w:t>__________________________/</w:t>
      </w:r>
    </w:p>
    <w:p w:rsidR="00CD4FF1" w:rsidRPr="00EC3646" w:rsidRDefault="00CD4FF1" w:rsidP="00CD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46">
        <w:rPr>
          <w:rFonts w:ascii="Times New Roman" w:hAnsi="Times New Roman" w:cs="Times New Roman"/>
          <w:sz w:val="24"/>
          <w:szCs w:val="24"/>
        </w:rPr>
        <w:t>Учитель  /_______________</w:t>
      </w:r>
      <w:r w:rsidRPr="00EC364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 подпись</w:t>
      </w:r>
    </w:p>
    <w:p w:rsidR="00507129" w:rsidRPr="00EC3646" w:rsidRDefault="00507129" w:rsidP="00CD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FF1" w:rsidRPr="00EC3646" w:rsidRDefault="00CD4FF1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F1" w:rsidRPr="00EC3646" w:rsidRDefault="00CD4FF1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F1" w:rsidRPr="00EC3646" w:rsidRDefault="00CD4FF1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0C" w:rsidRPr="00EC3646" w:rsidRDefault="00DA6A0C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5" w:rsidRPr="00EC3646" w:rsidRDefault="00C41855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0C" w:rsidRPr="00EC3646" w:rsidRDefault="00DA6A0C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D4FF1" w:rsidRPr="00EC3646" w:rsidRDefault="00CD4FF1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7129" w:rsidRPr="00EC3646" w:rsidRDefault="00507129" w:rsidP="00B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</w:t>
      </w:r>
      <w:r w:rsidR="00C41855"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</w:p>
    <w:p w:rsidR="00507129" w:rsidRPr="00EC3646" w:rsidRDefault="00507129" w:rsidP="00C4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СПРАВКА</w:t>
      </w:r>
      <w:r w:rsidRPr="00EC36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прохождении программного материала</w:t>
      </w:r>
      <w:r w:rsidRPr="00EC36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ликвидации академической задолженности</w:t>
      </w:r>
      <w:r w:rsidRPr="00EC36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20__/__ учебный год</w:t>
      </w:r>
    </w:p>
    <w:p w:rsidR="00507129" w:rsidRPr="00EC3646" w:rsidRDefault="00507129" w:rsidP="00DA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Выдана _______________________________________________________________________</w:t>
      </w:r>
    </w:p>
    <w:p w:rsidR="00507129" w:rsidRPr="00EC3646" w:rsidRDefault="00507129" w:rsidP="00DA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(фамилия, имя, отчество)</w:t>
      </w:r>
    </w:p>
    <w:p w:rsidR="00507129" w:rsidRPr="00EC3646" w:rsidRDefault="00507129" w:rsidP="00DA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курс __ класса в том, что он (она) в период с "__" _________ 201_ г. по "__" _________ 201_ г. </w:t>
      </w:r>
    </w:p>
    <w:p w:rsidR="00507129" w:rsidRPr="00EC3646" w:rsidRDefault="00507129" w:rsidP="00DA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показа</w:t>
      </w:r>
      <w:proofErr w:type="gramStart"/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л(</w:t>
      </w:r>
      <w:proofErr w:type="gramEnd"/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следующие результаты фактического уровня знани</w:t>
      </w:r>
      <w:r w:rsidR="00B47BE2"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по учебному предмету учебного</w:t>
      </w:r>
      <w:r w:rsidR="00D57993"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36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плана в соответствии с федеральными государственными образовательными стандартами.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108"/>
        <w:gridCol w:w="2383"/>
        <w:gridCol w:w="2442"/>
        <w:gridCol w:w="1335"/>
      </w:tblGrid>
      <w:tr w:rsidR="00507129" w:rsidRPr="00EC3646" w:rsidTr="00507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Start"/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предмет,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курс (модуль)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установления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фактического уровня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Фактический уровень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знаний (отметка)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 </w:t>
            </w: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507129" w:rsidRPr="00EC3646" w:rsidTr="00507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07129" w:rsidRPr="00EC3646" w:rsidTr="00507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07129" w:rsidRPr="00EC3646" w:rsidTr="005071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07129" w:rsidRPr="00EC3646" w:rsidTr="005071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07129" w:rsidRPr="00EC3646" w:rsidRDefault="00507129" w:rsidP="00DA6A0C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154"/>
        <w:gridCol w:w="156"/>
        <w:gridCol w:w="1147"/>
      </w:tblGrid>
      <w:tr w:rsidR="00507129" w:rsidRPr="00EC3646" w:rsidTr="005071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07129" w:rsidRPr="00EC3646" w:rsidTr="005071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29" w:rsidRPr="00EC3646" w:rsidRDefault="00507129" w:rsidP="00DA6A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6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(Ф. И. О.)</w:t>
            </w:r>
          </w:p>
        </w:tc>
      </w:tr>
      <w:tr w:rsidR="00507129" w:rsidRPr="00EC3646" w:rsidTr="005071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129" w:rsidRPr="00EC3646" w:rsidRDefault="00507129" w:rsidP="00DA6A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C7019" w:rsidRPr="00EC3646" w:rsidRDefault="002C7019" w:rsidP="00DA6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7019" w:rsidRPr="00EC3646" w:rsidSect="00CD4F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CAB"/>
    <w:multiLevelType w:val="hybridMultilevel"/>
    <w:tmpl w:val="1090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58A"/>
    <w:multiLevelType w:val="hybridMultilevel"/>
    <w:tmpl w:val="F28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04E7"/>
    <w:multiLevelType w:val="hybridMultilevel"/>
    <w:tmpl w:val="D714A8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488B"/>
    <w:multiLevelType w:val="hybridMultilevel"/>
    <w:tmpl w:val="797C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51D55"/>
    <w:multiLevelType w:val="hybridMultilevel"/>
    <w:tmpl w:val="080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7D60"/>
    <w:multiLevelType w:val="hybridMultilevel"/>
    <w:tmpl w:val="7270C4F2"/>
    <w:lvl w:ilvl="0" w:tplc="F51026B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F7D5ABE"/>
    <w:multiLevelType w:val="hybridMultilevel"/>
    <w:tmpl w:val="024E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4D7F"/>
    <w:multiLevelType w:val="hybridMultilevel"/>
    <w:tmpl w:val="9C5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3594"/>
    <w:multiLevelType w:val="hybridMultilevel"/>
    <w:tmpl w:val="484E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61"/>
    <w:rsid w:val="000B68DF"/>
    <w:rsid w:val="000E3276"/>
    <w:rsid w:val="00124323"/>
    <w:rsid w:val="002C7019"/>
    <w:rsid w:val="003170C1"/>
    <w:rsid w:val="004E0165"/>
    <w:rsid w:val="00507129"/>
    <w:rsid w:val="0053697D"/>
    <w:rsid w:val="006220E6"/>
    <w:rsid w:val="0064395C"/>
    <w:rsid w:val="00672631"/>
    <w:rsid w:val="006C0C4A"/>
    <w:rsid w:val="006E125D"/>
    <w:rsid w:val="00857FDE"/>
    <w:rsid w:val="008A5ABD"/>
    <w:rsid w:val="00A52530"/>
    <w:rsid w:val="00A67E61"/>
    <w:rsid w:val="00AE73D3"/>
    <w:rsid w:val="00B47BE2"/>
    <w:rsid w:val="00B65C64"/>
    <w:rsid w:val="00C41855"/>
    <w:rsid w:val="00C55055"/>
    <w:rsid w:val="00CD4FF1"/>
    <w:rsid w:val="00D20CE4"/>
    <w:rsid w:val="00D223AB"/>
    <w:rsid w:val="00D57993"/>
    <w:rsid w:val="00D847CB"/>
    <w:rsid w:val="00DA6A0C"/>
    <w:rsid w:val="00E6453D"/>
    <w:rsid w:val="00EB5297"/>
    <w:rsid w:val="00EC3646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4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2</cp:revision>
  <cp:lastPrinted>2022-04-20T11:40:00Z</cp:lastPrinted>
  <dcterms:created xsi:type="dcterms:W3CDTF">2023-07-25T09:21:00Z</dcterms:created>
  <dcterms:modified xsi:type="dcterms:W3CDTF">2023-07-25T09:21:00Z</dcterms:modified>
</cp:coreProperties>
</file>